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DD" w:rsidRPr="009E63DD" w:rsidRDefault="009E63DD" w:rsidP="009E63DD">
      <w:pPr>
        <w:spacing w:before="100" w:beforeAutospacing="1" w:after="100" w:afterAutospacing="1" w:line="240" w:lineRule="auto"/>
        <w:rPr>
          <w:b/>
          <w:sz w:val="28"/>
          <w:szCs w:val="28"/>
        </w:rPr>
      </w:pPr>
      <w:r w:rsidRPr="009E63DD">
        <w:rPr>
          <w:b/>
          <w:sz w:val="28"/>
          <w:szCs w:val="28"/>
        </w:rPr>
        <w:t>I henhold til hovedtariffavtalen</w:t>
      </w:r>
      <w:proofErr w:type="gramStart"/>
      <w:r w:rsidRPr="009E63DD">
        <w:rPr>
          <w:b/>
          <w:sz w:val="28"/>
          <w:szCs w:val="28"/>
        </w:rPr>
        <w:t xml:space="preserve"> §10</w:t>
      </w:r>
      <w:proofErr w:type="gramEnd"/>
      <w:r w:rsidRPr="009E63DD">
        <w:rPr>
          <w:b/>
          <w:sz w:val="28"/>
          <w:szCs w:val="28"/>
        </w:rPr>
        <w:t xml:space="preserve"> og 11 står følgende </w:t>
      </w:r>
    </w:p>
    <w:p w:rsidR="009E63DD" w:rsidRDefault="009E63DD" w:rsidP="009E63DD">
      <w:pPr>
        <w:spacing w:before="100" w:beforeAutospacing="1" w:after="100" w:afterAutospacing="1" w:line="240" w:lineRule="auto"/>
      </w:pPr>
      <w:r w:rsidRPr="0061173D">
        <w:rPr>
          <w:b/>
        </w:rPr>
        <w:t>10.5 Forsikring</w:t>
      </w:r>
      <w:r>
        <w:t xml:space="preserve"> </w:t>
      </w:r>
    </w:p>
    <w:p w:rsidR="009E63DD" w:rsidRDefault="009E63DD" w:rsidP="009E63DD">
      <w:pPr>
        <w:spacing w:before="100" w:beforeAutospacing="1" w:after="100" w:afterAutospacing="1" w:line="240" w:lineRule="auto"/>
      </w:pPr>
      <w:r>
        <w:t>Kommunen plikter å tegne gruppelivsforsikring til dekning av ovennevnte ytelser. Før kommunen velger forsikringsselskap, skal valg av selskap drøftes med de tillitsvalgte.</w:t>
      </w:r>
    </w:p>
    <w:p w:rsidR="009E63DD" w:rsidRDefault="009E63DD" w:rsidP="009E63DD">
      <w:pPr>
        <w:spacing w:before="100" w:beforeAutospacing="1" w:after="100" w:afterAutospacing="1" w:line="240" w:lineRule="auto"/>
      </w:pPr>
      <w:r w:rsidRPr="009D7327">
        <w:rPr>
          <w:b/>
        </w:rPr>
        <w:t>§ 10 Ytelser etter dødsfall/gruppelivsforsikringer</w:t>
      </w:r>
      <w:r>
        <w:t xml:space="preserve"> </w:t>
      </w:r>
    </w:p>
    <w:p w:rsidR="009E63DD" w:rsidRDefault="009E63DD" w:rsidP="009E63DD">
      <w:pPr>
        <w:spacing w:before="100" w:beforeAutospacing="1" w:after="100" w:afterAutospacing="1" w:line="240" w:lineRule="auto"/>
      </w:pPr>
      <w:r w:rsidRPr="009D7327">
        <w:rPr>
          <w:b/>
        </w:rPr>
        <w:t>10.1 Etterlatte</w:t>
      </w:r>
      <w:r>
        <w:t xml:space="preserve"> For arbeidstaker som er tilsatt i kommunen, herunder arbeidstakere som går på arbeidsavklaringspenger eller uføretrygd, utbetales ved dødsfall et engangsbeløp til ektefelle/ partner iht. lov om registrert partnerskap, samboer, eller andre som for en vesentlig del ble forsørget av arbeidstakeren.</w:t>
      </w:r>
      <w:bookmarkStart w:id="0" w:name="_GoBack"/>
      <w:bookmarkEnd w:id="0"/>
    </w:p>
    <w:p w:rsidR="009E63DD" w:rsidRDefault="009E63DD" w:rsidP="009E63DD">
      <w:pPr>
        <w:spacing w:before="100" w:beforeAutospacing="1" w:after="100" w:afterAutospacing="1" w:line="240" w:lineRule="auto"/>
      </w:pPr>
      <w:r w:rsidRPr="009D7327">
        <w:rPr>
          <w:b/>
        </w:rPr>
        <w:t>10.2 (G = grunnbeløpet i folketrygden</w:t>
      </w:r>
      <w:r>
        <w:t>)</w:t>
      </w:r>
    </w:p>
    <w:tbl>
      <w:tblPr>
        <w:tblStyle w:val="Tabellrutenett"/>
        <w:tblW w:w="0" w:type="auto"/>
        <w:tblLook w:val="04A0" w:firstRow="1" w:lastRow="0" w:firstColumn="1" w:lastColumn="0" w:noHBand="0" w:noVBand="1"/>
      </w:tblPr>
      <w:tblGrid>
        <w:gridCol w:w="1951"/>
        <w:gridCol w:w="1418"/>
      </w:tblGrid>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Under 51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10,0 G</w:t>
            </w:r>
          </w:p>
        </w:tc>
      </w:tr>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51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9,5 G</w:t>
            </w:r>
          </w:p>
        </w:tc>
      </w:tr>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52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9,0 G</w:t>
            </w:r>
          </w:p>
        </w:tc>
      </w:tr>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53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8,5 G</w:t>
            </w:r>
          </w:p>
        </w:tc>
      </w:tr>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54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8,0 G</w:t>
            </w:r>
          </w:p>
        </w:tc>
      </w:tr>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55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7,5 G</w:t>
            </w:r>
          </w:p>
        </w:tc>
      </w:tr>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56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7,0 G</w:t>
            </w:r>
          </w:p>
        </w:tc>
      </w:tr>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57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6,5 G</w:t>
            </w:r>
          </w:p>
        </w:tc>
      </w:tr>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58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6,0 G</w:t>
            </w:r>
          </w:p>
        </w:tc>
      </w:tr>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59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5,5 G</w:t>
            </w:r>
          </w:p>
        </w:tc>
      </w:tr>
      <w:tr w:rsidR="009E63DD" w:rsidTr="001B0928">
        <w:tc>
          <w:tcPr>
            <w:tcW w:w="1951" w:type="dxa"/>
          </w:tcPr>
          <w:p w:rsidR="009E63DD" w:rsidRDefault="009E63DD" w:rsidP="001B0928">
            <w:pPr>
              <w:spacing w:before="100" w:beforeAutospacing="1" w:after="100" w:afterAutospacing="1"/>
              <w:rPr>
                <w:rFonts w:ascii="Arial" w:hAnsi="Arial" w:cs="Arial"/>
              </w:rPr>
            </w:pPr>
            <w:r>
              <w:rPr>
                <w:rFonts w:ascii="Arial" w:hAnsi="Arial" w:cs="Arial"/>
              </w:rPr>
              <w:t>Over 59 år</w:t>
            </w:r>
          </w:p>
        </w:tc>
        <w:tc>
          <w:tcPr>
            <w:tcW w:w="1418" w:type="dxa"/>
          </w:tcPr>
          <w:p w:rsidR="009E63DD" w:rsidRDefault="009E63DD" w:rsidP="001B0928">
            <w:pPr>
              <w:spacing w:before="100" w:beforeAutospacing="1" w:after="100" w:afterAutospacing="1"/>
              <w:rPr>
                <w:rFonts w:ascii="Arial" w:hAnsi="Arial" w:cs="Arial"/>
              </w:rPr>
            </w:pPr>
            <w:r>
              <w:rPr>
                <w:rFonts w:ascii="Arial" w:hAnsi="Arial" w:cs="Arial"/>
              </w:rPr>
              <w:t>5,0 G</w:t>
            </w:r>
          </w:p>
        </w:tc>
      </w:tr>
    </w:tbl>
    <w:p w:rsidR="009E63DD" w:rsidRPr="009D7327" w:rsidRDefault="009E63DD" w:rsidP="009E63DD">
      <w:pPr>
        <w:spacing w:before="100" w:beforeAutospacing="1" w:after="100" w:afterAutospacing="1" w:line="240" w:lineRule="auto"/>
        <w:rPr>
          <w:b/>
        </w:rPr>
      </w:pPr>
      <w:r w:rsidRPr="009D7327">
        <w:rPr>
          <w:b/>
        </w:rPr>
        <w:t xml:space="preserve">10.3 Forsikringssummens begunstigelse </w:t>
      </w:r>
    </w:p>
    <w:p w:rsidR="009E63DD" w:rsidRDefault="009E63DD" w:rsidP="009E63DD">
      <w:pPr>
        <w:spacing w:before="100" w:beforeAutospacing="1" w:after="100" w:afterAutospacing="1" w:line="240" w:lineRule="auto"/>
      </w:pPr>
      <w:r>
        <w:t>Forsikringssummen utbetales i slik rekkefølge (ugjenkallelig begunstiget i den rekkefølge de er nevnt):</w:t>
      </w:r>
    </w:p>
    <w:p w:rsidR="009E63DD" w:rsidRDefault="009E63DD" w:rsidP="009E63DD">
      <w:pPr>
        <w:spacing w:before="100" w:beforeAutospacing="1" w:after="100" w:afterAutospacing="1" w:line="240" w:lineRule="auto"/>
        <w:ind w:firstLine="708"/>
      </w:pPr>
      <w:r>
        <w:t xml:space="preserve"> A Avdødes ektefelle (se dog bokstav C). Likt med ekteskap etter denne bestemmelse regnes registrert partnerskap etter lov av 30.4.1993. </w:t>
      </w:r>
    </w:p>
    <w:p w:rsidR="009E63DD" w:rsidRDefault="009E63DD" w:rsidP="009E63DD">
      <w:pPr>
        <w:spacing w:before="100" w:beforeAutospacing="1" w:after="100" w:afterAutospacing="1" w:line="240" w:lineRule="auto"/>
        <w:ind w:firstLine="708"/>
      </w:pPr>
      <w:r>
        <w:t>B Samboer (se dog bokstav C). Som samboer regnes person som har felles bopel og felles barn med avdøde på dødsfallstidspunktet, eller som ved bekreftelse fra folkeregisteret kan dokumentere at samboerforholdet har bestått de siste to år. Dette gjelder likevel ikke dersom det på dødsfallstidspunktet forelå hindringer for at lovlig ekteskap/partnerskap kunne inngås</w:t>
      </w:r>
    </w:p>
    <w:p w:rsidR="009E63DD" w:rsidRDefault="009E63DD" w:rsidP="009E63DD">
      <w:pPr>
        <w:spacing w:before="100" w:beforeAutospacing="1" w:after="100" w:afterAutospacing="1" w:line="240" w:lineRule="auto"/>
        <w:ind w:firstLine="708"/>
      </w:pPr>
      <w:r>
        <w:t xml:space="preserve">C Barn under 25 år. Disse skal ha utbetalt minst 40 % av erstatningsbeløpet selv om det er erstatningsberettiget ektefelle eller samboer. </w:t>
      </w:r>
    </w:p>
    <w:p w:rsidR="009E63DD" w:rsidRDefault="009E63DD" w:rsidP="009E63DD">
      <w:pPr>
        <w:spacing w:before="100" w:beforeAutospacing="1" w:after="100" w:afterAutospacing="1" w:line="240" w:lineRule="auto"/>
        <w:ind w:firstLine="708"/>
      </w:pPr>
      <w:r>
        <w:t>D Andre personer som for en vesentlig del ble forsørget av avdøde.</w:t>
      </w:r>
    </w:p>
    <w:p w:rsidR="009E63DD" w:rsidRDefault="009E63DD" w:rsidP="009E63DD">
      <w:pPr>
        <w:spacing w:before="100" w:beforeAutospacing="1" w:after="100" w:afterAutospacing="1" w:line="240" w:lineRule="auto"/>
      </w:pPr>
      <w:r w:rsidRPr="009D7327">
        <w:rPr>
          <w:b/>
        </w:rPr>
        <w:t>10.4 Begravelsesbidrag</w:t>
      </w:r>
      <w:r>
        <w:t xml:space="preserve"> </w:t>
      </w:r>
    </w:p>
    <w:p w:rsidR="009E63DD" w:rsidRDefault="009E63DD" w:rsidP="009E63DD">
      <w:pPr>
        <w:spacing w:before="100" w:beforeAutospacing="1" w:after="100" w:afterAutospacing="1" w:line="240" w:lineRule="auto"/>
      </w:pPr>
      <w:r>
        <w:t>Om det ikke finnes etterlatte som nevnt ovenfor, utbetales 2 G til dødsboet.</w:t>
      </w:r>
    </w:p>
    <w:p w:rsidR="009E63DD" w:rsidRDefault="009E63DD" w:rsidP="009E63DD">
      <w:pPr>
        <w:spacing w:before="100" w:beforeAutospacing="1" w:after="100" w:afterAutospacing="1" w:line="240" w:lineRule="auto"/>
        <w:rPr>
          <w:b/>
        </w:rPr>
      </w:pPr>
      <w:r w:rsidRPr="009D7327">
        <w:rPr>
          <w:b/>
        </w:rPr>
        <w:t>10.5 Forsikring</w:t>
      </w:r>
    </w:p>
    <w:p w:rsidR="009E63DD" w:rsidRDefault="009E63DD" w:rsidP="009E63DD">
      <w:pPr>
        <w:spacing w:before="100" w:beforeAutospacing="1" w:after="100" w:afterAutospacing="1" w:line="240" w:lineRule="auto"/>
      </w:pPr>
      <w:r>
        <w:lastRenderedPageBreak/>
        <w:t xml:space="preserve"> Kommunen plikter å tegne gruppelivsforsikring til dekning av ovennevnte ytelser. Før kommunen velger forsikringsselskap, skal valg av selskap drøftes med de tillitsvalgte.</w:t>
      </w:r>
    </w:p>
    <w:p w:rsidR="009E63DD" w:rsidRDefault="009E63DD" w:rsidP="009E63DD">
      <w:pPr>
        <w:spacing w:before="100" w:beforeAutospacing="1" w:after="100" w:afterAutospacing="1" w:line="240" w:lineRule="auto"/>
      </w:pPr>
    </w:p>
    <w:p w:rsidR="009E63DD" w:rsidRPr="009D7327" w:rsidRDefault="009E63DD" w:rsidP="009E63DD">
      <w:pPr>
        <w:spacing w:before="100" w:beforeAutospacing="1" w:after="100" w:afterAutospacing="1" w:line="240" w:lineRule="auto"/>
        <w:rPr>
          <w:b/>
        </w:rPr>
      </w:pPr>
      <w:r w:rsidRPr="009D7327">
        <w:rPr>
          <w:b/>
        </w:rPr>
        <w:t>§ 11 Erstatning ved yrkesskade/yrkessykdom</w:t>
      </w:r>
    </w:p>
    <w:p w:rsidR="009E63DD" w:rsidRDefault="009E63DD" w:rsidP="009E63DD">
      <w:pPr>
        <w:spacing w:before="100" w:beforeAutospacing="1" w:after="100" w:afterAutospacing="1" w:line="240" w:lineRule="auto"/>
      </w:pPr>
      <w:r w:rsidRPr="009D7327">
        <w:rPr>
          <w:b/>
        </w:rPr>
        <w:t>11.1 Yrkesskade</w:t>
      </w:r>
      <w:r>
        <w:t xml:space="preserve"> </w:t>
      </w:r>
    </w:p>
    <w:p w:rsidR="009E63DD" w:rsidRDefault="009E63DD" w:rsidP="009E63DD">
      <w:pPr>
        <w:spacing w:before="100" w:beforeAutospacing="1" w:after="100" w:afterAutospacing="1" w:line="240" w:lineRule="auto"/>
      </w:pPr>
      <w:r>
        <w:t xml:space="preserve">Ved yrkesskade/yrkessykdom (godkjent av NAV som yrkesskade) som følge av arbeid i kommunal virksomhet, tilstås en engangserstatning utregnet etter folketrygdens grunnbeløp på skademeldingstidspunktet. </w:t>
      </w:r>
    </w:p>
    <w:p w:rsidR="009E63DD" w:rsidRDefault="009E63DD" w:rsidP="009E63DD">
      <w:pPr>
        <w:spacing w:before="100" w:beforeAutospacing="1" w:after="100" w:afterAutospacing="1" w:line="240" w:lineRule="auto"/>
      </w:pPr>
      <w:r>
        <w:t xml:space="preserve">Bestemmelsen skal også gjelde når en arbeidstaker blir skadet som følge av vold og/eller trusler fra klient/bruker/elev el. på fritiden og som medfører hel eller delvis arbeidsuførhet eller dødsfall. </w:t>
      </w:r>
    </w:p>
    <w:p w:rsidR="009E63DD" w:rsidRDefault="009E63DD" w:rsidP="009E63DD">
      <w:pPr>
        <w:spacing w:before="100" w:beforeAutospacing="1" w:after="100" w:afterAutospacing="1" w:line="240" w:lineRule="auto"/>
      </w:pPr>
      <w:r>
        <w:t>Erstatningen inklusive renter etter forsikringsavtaleloven skal likevel minst tilsvare erstatning beregnet etter grunnbeløpet på oppgjørstidspunktet.</w:t>
      </w:r>
    </w:p>
    <w:p w:rsidR="009E63DD" w:rsidRDefault="009E63DD" w:rsidP="009E63DD">
      <w:pPr>
        <w:spacing w:before="100" w:beforeAutospacing="1" w:after="100" w:afterAutospacing="1" w:line="240" w:lineRule="auto"/>
      </w:pPr>
      <w:r w:rsidRPr="009D7327">
        <w:rPr>
          <w:b/>
        </w:rPr>
        <w:t>11.2 Skade på reise</w:t>
      </w:r>
      <w:r>
        <w:t xml:space="preserve"> </w:t>
      </w:r>
    </w:p>
    <w:p w:rsidR="009E63DD" w:rsidRDefault="009E63DD" w:rsidP="009E63DD">
      <w:pPr>
        <w:spacing w:before="100" w:beforeAutospacing="1" w:after="100" w:afterAutospacing="1" w:line="240" w:lineRule="auto"/>
      </w:pPr>
      <w:r>
        <w:t>Tilsvarende erstatning som ytes etter § 11 punkt 11.1–11.7 utbetales når arbeidstakeren skades ved ulykke på direkte reise mellom hjem og arbeidssted og på tjenestereise.</w:t>
      </w:r>
    </w:p>
    <w:p w:rsidR="009E63DD" w:rsidRDefault="009E63DD" w:rsidP="009E63DD">
      <w:pPr>
        <w:spacing w:before="100" w:beforeAutospacing="1" w:after="100" w:afterAutospacing="1" w:line="240" w:lineRule="auto"/>
      </w:pPr>
      <w:r w:rsidRPr="009D7327">
        <w:rPr>
          <w:b/>
        </w:rPr>
        <w:t>11.3 Alle tilsatte / tidligere tilsatte</w:t>
      </w:r>
      <w:r>
        <w:t xml:space="preserve"> </w:t>
      </w:r>
    </w:p>
    <w:p w:rsidR="009E63DD" w:rsidRDefault="009E63DD" w:rsidP="009E63DD">
      <w:pPr>
        <w:spacing w:before="100" w:beforeAutospacing="1" w:after="100" w:afterAutospacing="1" w:line="240" w:lineRule="auto"/>
      </w:pPr>
      <w:r>
        <w:t>Alle arbeidstakere tilsatt i kommunen omfattes av ordningen. Arbeidstakere som har vært tilsatt i kommunen dekkes også, forutsatt at skaden ble konstatert etter 1.5.1986.</w:t>
      </w:r>
    </w:p>
    <w:p w:rsidR="009E63DD" w:rsidRDefault="009E63DD" w:rsidP="009E63DD">
      <w:pPr>
        <w:spacing w:before="100" w:beforeAutospacing="1" w:after="100" w:afterAutospacing="1" w:line="240" w:lineRule="auto"/>
      </w:pPr>
      <w:r w:rsidRPr="00F6350C">
        <w:rPr>
          <w:b/>
        </w:rPr>
        <w:t>11.4 Tap i framtidig erverv</w:t>
      </w:r>
      <w:r>
        <w:t xml:space="preserve"> </w:t>
      </w:r>
    </w:p>
    <w:p w:rsidR="009E63DD" w:rsidRDefault="009E63DD" w:rsidP="009E63DD">
      <w:pPr>
        <w:spacing w:before="100" w:beforeAutospacing="1" w:after="100" w:afterAutospacing="1" w:line="240" w:lineRule="auto"/>
      </w:pPr>
      <w:r>
        <w:t>Ved yrkesskade/yrkessykdom som fører til ervervsmessig uførhet på 100 %, settes erstatningssummen til 15 G. Erstatningen reduseres forholdsmessig hvis den ervervsmessige uførhet er lavere.</w:t>
      </w:r>
    </w:p>
    <w:p w:rsidR="009E63DD" w:rsidRDefault="009E63DD" w:rsidP="009E63DD">
      <w:pPr>
        <w:spacing w:before="100" w:beforeAutospacing="1" w:after="100" w:afterAutospacing="1" w:line="240" w:lineRule="auto"/>
      </w:pPr>
      <w:r w:rsidRPr="00F6350C">
        <w:rPr>
          <w:b/>
        </w:rPr>
        <w:t>11.5 Menerstatning</w:t>
      </w:r>
      <w:r>
        <w:t xml:space="preserve"> </w:t>
      </w:r>
    </w:p>
    <w:p w:rsidR="009E63DD" w:rsidRDefault="009E63DD" w:rsidP="009E63DD">
      <w:pPr>
        <w:spacing w:before="100" w:beforeAutospacing="1" w:after="100" w:afterAutospacing="1" w:line="240" w:lineRule="auto"/>
      </w:pPr>
      <w:r>
        <w:t>Ved varig medisinsk invaliditet på minst 15 % ytes i tillegg menerstatning på følgende måte:</w:t>
      </w:r>
    </w:p>
    <w:tbl>
      <w:tblPr>
        <w:tblStyle w:val="Tabellrutenett"/>
        <w:tblW w:w="0" w:type="auto"/>
        <w:tblLook w:val="04A0" w:firstRow="1" w:lastRow="0" w:firstColumn="1" w:lastColumn="0" w:noHBand="0" w:noVBand="1"/>
      </w:tblPr>
      <w:tblGrid>
        <w:gridCol w:w="1668"/>
        <w:gridCol w:w="2976"/>
        <w:gridCol w:w="1134"/>
      </w:tblGrid>
      <w:tr w:rsidR="009E63DD" w:rsidTr="001B0928">
        <w:tc>
          <w:tcPr>
            <w:tcW w:w="1668" w:type="dxa"/>
          </w:tcPr>
          <w:p w:rsidR="009E63DD" w:rsidRDefault="009E63DD" w:rsidP="001B0928">
            <w:pPr>
              <w:spacing w:before="100" w:beforeAutospacing="1" w:after="100" w:afterAutospacing="1"/>
              <w:rPr>
                <w:rFonts w:ascii="Arial" w:hAnsi="Arial" w:cs="Arial"/>
              </w:rPr>
            </w:pPr>
            <w:r>
              <w:rPr>
                <w:rFonts w:ascii="Arial" w:hAnsi="Arial" w:cs="Arial"/>
              </w:rPr>
              <w:t xml:space="preserve">15 - </w:t>
            </w:r>
            <w:proofErr w:type="gramStart"/>
            <w:r>
              <w:rPr>
                <w:rFonts w:ascii="Arial" w:hAnsi="Arial" w:cs="Arial"/>
              </w:rPr>
              <w:t>29%</w:t>
            </w:r>
            <w:proofErr w:type="gramEnd"/>
          </w:p>
        </w:tc>
        <w:tc>
          <w:tcPr>
            <w:tcW w:w="2976" w:type="dxa"/>
          </w:tcPr>
          <w:p w:rsidR="009E63DD" w:rsidRDefault="009E63DD" w:rsidP="001B0928">
            <w:pPr>
              <w:spacing w:before="100" w:beforeAutospacing="1" w:after="100" w:afterAutospacing="1"/>
              <w:rPr>
                <w:rFonts w:ascii="Arial" w:hAnsi="Arial" w:cs="Arial"/>
              </w:rPr>
            </w:pPr>
            <w:r>
              <w:t>medisinsk invaliditet</w:t>
            </w:r>
          </w:p>
        </w:tc>
        <w:tc>
          <w:tcPr>
            <w:tcW w:w="1134" w:type="dxa"/>
          </w:tcPr>
          <w:p w:rsidR="009E63DD" w:rsidRDefault="009E63DD" w:rsidP="001B0928">
            <w:pPr>
              <w:spacing w:before="100" w:beforeAutospacing="1" w:after="100" w:afterAutospacing="1"/>
              <w:rPr>
                <w:rFonts w:ascii="Arial" w:hAnsi="Arial" w:cs="Arial"/>
              </w:rPr>
            </w:pPr>
            <w:r>
              <w:rPr>
                <w:rFonts w:ascii="Arial" w:hAnsi="Arial" w:cs="Arial"/>
              </w:rPr>
              <w:t>1G</w:t>
            </w:r>
          </w:p>
        </w:tc>
      </w:tr>
      <w:tr w:rsidR="009E63DD" w:rsidTr="001B0928">
        <w:tc>
          <w:tcPr>
            <w:tcW w:w="1668" w:type="dxa"/>
          </w:tcPr>
          <w:p w:rsidR="009E63DD" w:rsidRDefault="009E63DD" w:rsidP="001B0928">
            <w:pPr>
              <w:spacing w:before="100" w:beforeAutospacing="1" w:after="100" w:afterAutospacing="1"/>
              <w:rPr>
                <w:rFonts w:ascii="Arial" w:hAnsi="Arial" w:cs="Arial"/>
              </w:rPr>
            </w:pPr>
            <w:r>
              <w:rPr>
                <w:rFonts w:ascii="Arial" w:hAnsi="Arial" w:cs="Arial"/>
              </w:rPr>
              <w:t xml:space="preserve">30 - </w:t>
            </w:r>
            <w:proofErr w:type="gramStart"/>
            <w:r>
              <w:rPr>
                <w:rFonts w:ascii="Arial" w:hAnsi="Arial" w:cs="Arial"/>
              </w:rPr>
              <w:t>70%</w:t>
            </w:r>
            <w:proofErr w:type="gramEnd"/>
          </w:p>
        </w:tc>
        <w:tc>
          <w:tcPr>
            <w:tcW w:w="2976" w:type="dxa"/>
          </w:tcPr>
          <w:p w:rsidR="009E63DD" w:rsidRDefault="009E63DD" w:rsidP="001B0928">
            <w:pPr>
              <w:spacing w:before="100" w:beforeAutospacing="1" w:after="100" w:afterAutospacing="1"/>
              <w:rPr>
                <w:rFonts w:ascii="Arial" w:hAnsi="Arial" w:cs="Arial"/>
              </w:rPr>
            </w:pPr>
            <w:r>
              <w:t>medisinsk invaliditet</w:t>
            </w:r>
          </w:p>
        </w:tc>
        <w:tc>
          <w:tcPr>
            <w:tcW w:w="1134" w:type="dxa"/>
          </w:tcPr>
          <w:p w:rsidR="009E63DD" w:rsidRDefault="009E63DD" w:rsidP="001B0928">
            <w:pPr>
              <w:spacing w:before="100" w:beforeAutospacing="1" w:after="100" w:afterAutospacing="1"/>
              <w:rPr>
                <w:rFonts w:ascii="Arial" w:hAnsi="Arial" w:cs="Arial"/>
              </w:rPr>
            </w:pPr>
            <w:r>
              <w:rPr>
                <w:rFonts w:ascii="Arial" w:hAnsi="Arial" w:cs="Arial"/>
              </w:rPr>
              <w:t>2G</w:t>
            </w:r>
          </w:p>
        </w:tc>
      </w:tr>
      <w:tr w:rsidR="009E63DD" w:rsidTr="001B0928">
        <w:tc>
          <w:tcPr>
            <w:tcW w:w="1668" w:type="dxa"/>
          </w:tcPr>
          <w:p w:rsidR="009E63DD" w:rsidRDefault="009E63DD" w:rsidP="001B0928">
            <w:pPr>
              <w:spacing w:before="100" w:beforeAutospacing="1" w:after="100" w:afterAutospacing="1"/>
              <w:rPr>
                <w:rFonts w:ascii="Arial" w:hAnsi="Arial" w:cs="Arial"/>
              </w:rPr>
            </w:pPr>
          </w:p>
        </w:tc>
        <w:tc>
          <w:tcPr>
            <w:tcW w:w="2976" w:type="dxa"/>
          </w:tcPr>
          <w:p w:rsidR="009E63DD" w:rsidRDefault="009E63DD" w:rsidP="001B0928">
            <w:pPr>
              <w:spacing w:before="100" w:beforeAutospacing="1" w:after="100" w:afterAutospacing="1"/>
              <w:rPr>
                <w:rFonts w:ascii="Arial" w:hAnsi="Arial" w:cs="Arial"/>
              </w:rPr>
            </w:pPr>
            <w:r>
              <w:t>medisinsk invaliditet</w:t>
            </w:r>
          </w:p>
        </w:tc>
        <w:tc>
          <w:tcPr>
            <w:tcW w:w="1134" w:type="dxa"/>
          </w:tcPr>
          <w:p w:rsidR="009E63DD" w:rsidRDefault="009E63DD" w:rsidP="001B0928">
            <w:pPr>
              <w:spacing w:before="100" w:beforeAutospacing="1" w:after="100" w:afterAutospacing="1"/>
              <w:rPr>
                <w:rFonts w:ascii="Arial" w:hAnsi="Arial" w:cs="Arial"/>
              </w:rPr>
            </w:pPr>
            <w:r>
              <w:rPr>
                <w:rFonts w:ascii="Arial" w:hAnsi="Arial" w:cs="Arial"/>
              </w:rPr>
              <w:t>3G</w:t>
            </w:r>
          </w:p>
        </w:tc>
      </w:tr>
    </w:tbl>
    <w:p w:rsidR="009E63DD" w:rsidRDefault="009E63DD" w:rsidP="009E63DD">
      <w:pPr>
        <w:spacing w:before="100" w:beforeAutospacing="1" w:after="100" w:afterAutospacing="1" w:line="240" w:lineRule="auto"/>
      </w:pPr>
      <w:r w:rsidRPr="00F6350C">
        <w:rPr>
          <w:b/>
        </w:rPr>
        <w:t>11.6 Død</w:t>
      </w:r>
      <w:r>
        <w:t xml:space="preserve"> </w:t>
      </w:r>
    </w:p>
    <w:p w:rsidR="009E63DD" w:rsidRDefault="009E63DD" w:rsidP="009E63DD">
      <w:pPr>
        <w:spacing w:before="100" w:beforeAutospacing="1" w:after="100" w:afterAutospacing="1" w:line="240" w:lineRule="auto"/>
      </w:pPr>
      <w:r>
        <w:t>Når yrkesskade/yrkessykdom medfører død, utbetales et beløp på 15 G til de etterlatte som definert i punkt 10.3.</w:t>
      </w:r>
    </w:p>
    <w:p w:rsidR="009E63DD" w:rsidRDefault="009E63DD" w:rsidP="009E63DD">
      <w:pPr>
        <w:spacing w:before="100" w:beforeAutospacing="1" w:after="100" w:afterAutospacing="1" w:line="240" w:lineRule="auto"/>
      </w:pPr>
      <w:r w:rsidRPr="00F6350C">
        <w:rPr>
          <w:b/>
        </w:rPr>
        <w:t>11.7 Samordning av §§ 10 og 11</w:t>
      </w:r>
      <w:r>
        <w:t xml:space="preserve"> </w:t>
      </w:r>
    </w:p>
    <w:p w:rsidR="009E63DD" w:rsidRDefault="009E63DD" w:rsidP="009E63DD">
      <w:pPr>
        <w:spacing w:before="100" w:beforeAutospacing="1" w:after="100" w:afterAutospacing="1" w:line="240" w:lineRule="auto"/>
      </w:pPr>
      <w:r>
        <w:t>Den samlede erstatning til de etterlatte etter § 10 og § 11 kan ikke overstige 18 G</w:t>
      </w:r>
    </w:p>
    <w:p w:rsidR="009E63DD" w:rsidRDefault="009E63DD" w:rsidP="009E63DD">
      <w:pPr>
        <w:spacing w:before="100" w:beforeAutospacing="1" w:after="100" w:afterAutospacing="1" w:line="240" w:lineRule="auto"/>
      </w:pPr>
      <w:r w:rsidRPr="00F6350C">
        <w:rPr>
          <w:b/>
        </w:rPr>
        <w:lastRenderedPageBreak/>
        <w:t>11.8 Samordning av reglene med lov om yrkesskadeforsikring</w:t>
      </w:r>
      <w:r>
        <w:t xml:space="preserve"> </w:t>
      </w:r>
    </w:p>
    <w:p w:rsidR="009E63DD" w:rsidRDefault="009E63DD" w:rsidP="009E63DD">
      <w:pPr>
        <w:spacing w:before="100" w:beforeAutospacing="1" w:after="100" w:afterAutospacing="1" w:line="240" w:lineRule="auto"/>
      </w:pPr>
      <w:r>
        <w:t xml:space="preserve">I de tilfeller lov om yrkesskadeforsikring medfører høyere erstatning enn etter ovennevnte regler ved erstatningsutmålingen, utbetales bare erstatning etter loven. </w:t>
      </w:r>
    </w:p>
    <w:p w:rsidR="009E63DD" w:rsidRDefault="009E63DD" w:rsidP="009E63DD">
      <w:pPr>
        <w:spacing w:before="100" w:beforeAutospacing="1" w:after="100" w:afterAutospacing="1" w:line="240" w:lineRule="auto"/>
      </w:pPr>
      <w:r>
        <w:t>I de tilfeller der den skadelidte eller etterlatte vil oppnå høyere samlet erstatning etter § 11 punkt 11.1–11.7 enn etter lov om yrkesskadeforsikring, utbetales differansen i tillegg til erstatning etter lov om yrkesskadeforsikring.</w:t>
      </w:r>
    </w:p>
    <w:p w:rsidR="009E63DD" w:rsidRPr="006E3E31" w:rsidRDefault="009E63DD" w:rsidP="009E63DD">
      <w:pPr>
        <w:spacing w:before="100" w:beforeAutospacing="1" w:after="100" w:afterAutospacing="1" w:line="240" w:lineRule="auto"/>
        <w:rPr>
          <w:rFonts w:ascii="Arial" w:hAnsi="Arial" w:cs="Arial"/>
        </w:rPr>
      </w:pPr>
      <w:r w:rsidRPr="00F6350C">
        <w:rPr>
          <w:b/>
        </w:rPr>
        <w:t>11.9</w:t>
      </w:r>
      <w:r>
        <w:t xml:space="preserve"> Kommunen plikter å tegne forsikring som dekker ytelsene etter § 11, jf. for øvrig § 10</w:t>
      </w:r>
    </w:p>
    <w:p w:rsidR="001D29BB" w:rsidRDefault="001D29BB"/>
    <w:sectPr w:rsidR="001D2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DD"/>
    <w:rsid w:val="001D29BB"/>
    <w:rsid w:val="009E63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3D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E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3D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E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664</Words>
  <Characters>3522</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Sokndal kommune</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Å. Ougendal</dc:creator>
  <cp:lastModifiedBy>Hilde Å. Ougendal</cp:lastModifiedBy>
  <cp:revision>1</cp:revision>
  <dcterms:created xsi:type="dcterms:W3CDTF">2019-09-25T10:54:00Z</dcterms:created>
  <dcterms:modified xsi:type="dcterms:W3CDTF">2019-09-25T11:00:00Z</dcterms:modified>
</cp:coreProperties>
</file>